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06"/>
        <w:gridCol w:w="4724"/>
        <w:tblGridChange w:id="0">
          <w:tblGrid>
            <w:gridCol w:w="4306"/>
            <w:gridCol w:w="4724"/>
          </w:tblGrid>
        </w:tblGridChange>
      </w:tblGrid>
      <w:tr>
        <w:trPr>
          <w:cantSplit w:val="0"/>
          <w:trHeight w:val="1582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jc w:val="center"/>
              <w:rPr>
                <w:rFonts w:ascii="DFKai-SB" w:cs="DFKai-SB" w:eastAsia="DFKai-SB" w:hAnsi="DFKai-SB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30"/>
                <w:szCs w:val="30"/>
                <w:rtl w:val="0"/>
              </w:rPr>
              <w:t xml:space="preserve">社會領域自主學習學習單 1</w:t>
            </w:r>
          </w:p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center"/>
              <w:rPr>
                <w:rFonts w:ascii="DFKai-SB" w:cs="DFKai-SB" w:eastAsia="DFKai-SB" w:hAnsi="DFKai-SB"/>
                <w:sz w:val="26"/>
                <w:szCs w:val="26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6"/>
                <w:szCs w:val="26"/>
                <w:rtl w:val="0"/>
              </w:rPr>
              <w:t xml:space="preserve">_____年_____班 姓名：_______________學習日期：_____／_____／_____</w:t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請觀看影片，影片的問題出現後，請先按暫停，作答在格子裡。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DFKai-SB" w:cs="DFKai-SB" w:eastAsia="DFKai-SB" w:hAnsi="DFKai-SB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4"/>
                <w:szCs w:val="24"/>
                <w:rtl w:val="0"/>
              </w:rPr>
              <w:t xml:space="preserve">影片內容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DFKai-SB" w:cs="DFKai-SB" w:eastAsia="DFKai-SB" w:hAnsi="DFKai-SB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4"/>
                <w:szCs w:val="24"/>
                <w:rtl w:val="0"/>
              </w:rPr>
              <w:t xml:space="preserve">筆記記錄</w:t>
            </w:r>
          </w:p>
        </w:tc>
      </w:tr>
      <w:tr>
        <w:trPr>
          <w:cantSplit w:val="0"/>
          <w:trHeight w:val="52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</w:rPr>
              <w:drawing>
                <wp:inline distB="114300" distT="114300" distL="114300" distR="114300">
                  <wp:extent cx="2600325" cy="144780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spacing w:before="240" w:line="276" w:lineRule="auto"/>
              <w:rPr>
                <w:rFonts w:ascii="Microsoft JhengHei" w:cs="Microsoft JhengHei" w:eastAsia="Microsoft JhengHei" w:hAnsi="Microsoft JhengHe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早期的運補船出於安全考量，常於半夜執行「_________」作業，一次至多四艘。運補船載運的物資包括戰車、彈藥、米飯、油料、水泥、罐頭等民生必需品。初時全賴人力搬運，後期乃設棧橋，以增其效。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</w:rPr>
              <w:drawing>
                <wp:inline distB="114300" distT="114300" distL="114300" distR="114300">
                  <wp:extent cx="2600325" cy="146050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46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spacing w:before="240" w:line="276" w:lineRule="auto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此處為「_________」之分配所，並主掌海面與灘岸之監控，屬於港口連之下。每次運補則有三至四艘登陸艇，各派一師，且須於一個「_________」完成一次搶灘運補之業務。</w:t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</w:rPr>
              <w:drawing>
                <wp:inline distB="114300" distT="114300" distL="114300" distR="114300">
                  <wp:extent cx="2600325" cy="14478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spacing w:line="276" w:lineRule="auto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砲戰期間搶灘補運為金門全島維生系統，「___」位勇士是「_________」，在運補過程中遭砲擊殉難。後人為紀念戰火中奮不顧身、協助運補而犧牲者，遂建此雕像以志不朽。</w:t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</w:rPr>
              <w:drawing>
                <wp:inline distB="114300" distT="114300" distL="114300" distR="114300">
                  <wp:extent cx="2600325" cy="14478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spacing w:line="276" w:lineRule="auto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軍方在金門各地分散設置補給品庫區逾百處，以降低敵炮火所造成的損失，並能就近補給附近各部隊平、戰時所需。金湖數位機會中心的前身是「_________」，後指部工勤連為庫點管理單位。現為教育部輔導的偏鄉數位學習中心。</w:t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</w:rPr>
              <w:drawing>
                <wp:inline distB="114300" distT="114300" distL="114300" distR="114300">
                  <wp:extent cx="2600325" cy="14478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before="240" w:line="276" w:lineRule="auto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伍德宮的廟誌據稱由兩塊樟木刻製而成，一塊刻有「_________」，第二塊刻有「_________」。伍德宮祀奉蘇邱梁秦蔡五位王爺，皆為陳淵（恩主公）的部將，以蘇王爺為主奉。清代時期，蘇府王爺也受尊奉為護營神。</w:t>
            </w:r>
          </w:p>
        </w:tc>
      </w:tr>
      <w:tr>
        <w:trPr>
          <w:cantSplit w:val="0"/>
          <w:trHeight w:val="10409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DFKai-SB" w:cs="DFKai-SB" w:eastAsia="DFKai-SB" w:hAnsi="DFKai-SB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4"/>
                <w:szCs w:val="24"/>
                <w:rtl w:val="0"/>
              </w:rPr>
              <w:t xml:space="preserve">觀後思考：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這幾個景點中，哪個最讓你印象深刻？為什麼？</w:t>
            </w:r>
          </w:p>
        </w:tc>
      </w:tr>
    </w:tbl>
    <w:p w:rsidR="00000000" w:rsidDel="00000000" w:rsidP="00000000" w:rsidRDefault="00000000" w:rsidRPr="00000000" w14:paraId="00000016">
      <w:pPr>
        <w:spacing w:line="276" w:lineRule="auto"/>
        <w:rPr>
          <w:rFonts w:ascii="BiauKai" w:cs="BiauKai" w:eastAsia="BiauKai" w:hAnsi="BiauKa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jc w:val="left"/>
        <w:rPr>
          <w:rFonts w:ascii="DFKai-SB" w:cs="DFKai-SB" w:eastAsia="DFKai-SB" w:hAnsi="DFKai-SB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jc w:val="center"/>
        <w:rPr>
          <w:rFonts w:ascii="DFKai-SB" w:cs="DFKai-SB" w:eastAsia="DFKai-SB" w:hAnsi="DFKai-SB"/>
          <w:b w:val="1"/>
          <w:sz w:val="30"/>
          <w:szCs w:val="30"/>
        </w:rPr>
      </w:pPr>
      <w:r w:rsidDel="00000000" w:rsidR="00000000" w:rsidRPr="00000000">
        <w:rPr>
          <w:rFonts w:ascii="DFKai-SB" w:cs="DFKai-SB" w:eastAsia="DFKai-SB" w:hAnsi="DFKai-SB"/>
          <w:b w:val="1"/>
          <w:sz w:val="30"/>
          <w:szCs w:val="30"/>
          <w:rtl w:val="0"/>
        </w:rPr>
        <w:t xml:space="preserve">社會領域自主學習學習單 2</w:t>
      </w:r>
    </w:p>
    <w:p w:rsidR="00000000" w:rsidDel="00000000" w:rsidP="00000000" w:rsidRDefault="00000000" w:rsidRPr="00000000" w14:paraId="00000019">
      <w:pPr>
        <w:widowControl w:val="0"/>
        <w:spacing w:line="240" w:lineRule="auto"/>
        <w:jc w:val="center"/>
        <w:rPr>
          <w:rFonts w:ascii="DFKai-SB" w:cs="DFKai-SB" w:eastAsia="DFKai-SB" w:hAnsi="DFKai-SB"/>
          <w:sz w:val="26"/>
          <w:szCs w:val="26"/>
        </w:rPr>
      </w:pPr>
      <w:r w:rsidDel="00000000" w:rsidR="00000000" w:rsidRPr="00000000">
        <w:rPr>
          <w:rFonts w:ascii="DFKai-SB" w:cs="DFKai-SB" w:eastAsia="DFKai-SB" w:hAnsi="DFKai-SB"/>
          <w:sz w:val="26"/>
          <w:szCs w:val="26"/>
          <w:rtl w:val="0"/>
        </w:rPr>
        <w:t xml:space="preserve">_____年_____班 姓名：_______________學習日期：_____／_____／_____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BiauKai" w:cs="BiauKai" w:eastAsia="BiauKai" w:hAnsi="BiauKa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76" w:lineRule="auto"/>
        <w:ind w:left="720" w:hanging="360"/>
        <w:rPr>
          <w:rFonts w:ascii="DFKai-SB" w:cs="DFKai-SB" w:eastAsia="DFKai-SB" w:hAnsi="DFKai-SB"/>
          <w:sz w:val="24"/>
          <w:szCs w:val="24"/>
        </w:rPr>
      </w:pPr>
      <w:r w:rsidDel="00000000" w:rsidR="00000000" w:rsidRPr="00000000">
        <w:rPr>
          <w:rFonts w:ascii="DFKai-SB" w:cs="DFKai-SB" w:eastAsia="DFKai-SB" w:hAnsi="DFKai-SB"/>
          <w:sz w:val="24"/>
          <w:szCs w:val="24"/>
          <w:rtl w:val="0"/>
        </w:rPr>
        <w:t xml:space="preserve">你生活的地方有什麼別具特色的地點呢？請以文字說明或加上圖畫介紹。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Fonts w:ascii="BiauKai" w:cs="BiauKai" w:eastAsia="BiauKai" w:hAnsi="BiauKai"/>
          <w:sz w:val="24"/>
          <w:szCs w:val="24"/>
        </w:rPr>
        <w:drawing>
          <wp:inline distB="114300" distT="114300" distL="114300" distR="114300">
            <wp:extent cx="5731200" cy="41910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9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line="276" w:lineRule="auto"/>
        <w:ind w:left="720" w:hanging="360"/>
        <w:rPr>
          <w:rFonts w:ascii="DFKai-SB" w:cs="DFKai-SB" w:eastAsia="DFKai-SB" w:hAnsi="DFKai-SB"/>
          <w:sz w:val="24"/>
          <w:szCs w:val="24"/>
        </w:rPr>
      </w:pPr>
      <w:r w:rsidDel="00000000" w:rsidR="00000000" w:rsidRPr="00000000">
        <w:rPr>
          <w:rFonts w:ascii="DFKai-SB" w:cs="DFKai-SB" w:eastAsia="DFKai-SB" w:hAnsi="DFKai-SB"/>
          <w:sz w:val="24"/>
          <w:szCs w:val="24"/>
          <w:rtl w:val="0"/>
        </w:rPr>
        <w:t xml:space="preserve">這些地點分別在哪裡呢？你會如何規劃路線？請配合使用Google地圖，畫出路線地圖。</w:t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110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line="276" w:lineRule="auto"/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DFKai-SB"/>
  <w:font w:name="BiauKai"/>
  <w:font w:name="Microsoft JhengHe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